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64118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F" w:rsidRPr="00007EF7" w:rsidRDefault="00A156E2" w:rsidP="009B55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жасау </w:t>
            </w:r>
            <w:r w:rsidRPr="00A156E2">
              <w:rPr>
                <w:sz w:val="20"/>
                <w:szCs w:val="20"/>
                <w:lang w:val="kk-KZ"/>
              </w:rPr>
              <w:t>,</w:t>
            </w:r>
          </w:p>
          <w:p w:rsidR="009B55FF" w:rsidRPr="00007EF7" w:rsidRDefault="009B55FF" w:rsidP="009B55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:rsidR="00927510" w:rsidRDefault="009B55FF" w:rsidP="009B55F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BB0C4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Zoom/ платформасында ауызша</w:t>
            </w:r>
          </w:p>
        </w:tc>
      </w:tr>
      <w:tr w:rsidR="00927510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570BD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Маулит Бақытнұр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570BDC" w:rsidRDefault="00894A7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hyperlink r:id="rId6" w:history="1">
              <w:r w:rsidR="00570BDC" w:rsidRPr="00F9099D">
                <w:rPr>
                  <w:rStyle w:val="a3"/>
                  <w:sz w:val="20"/>
                  <w:szCs w:val="20"/>
                  <w:lang w:val="en-US"/>
                </w:rPr>
                <w:t>2010zere</w:t>
              </w:r>
              <w:r w:rsidR="00570BDC" w:rsidRPr="00F9099D">
                <w:rPr>
                  <w:rStyle w:val="a3"/>
                  <w:sz w:val="20"/>
                  <w:szCs w:val="20"/>
                </w:rPr>
                <w:t>@</w:t>
              </w:r>
              <w:r w:rsidR="00570BDC" w:rsidRPr="00F9099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0BDC" w:rsidRPr="00F9099D">
                <w:rPr>
                  <w:rStyle w:val="a3"/>
                  <w:sz w:val="20"/>
                  <w:szCs w:val="20"/>
                </w:rPr>
                <w:t>.</w:t>
              </w:r>
              <w:r w:rsidR="00570BDC" w:rsidRPr="00F9099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927510" w:rsidRPr="00570BDC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570BD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87025553082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3968"/>
        <w:gridCol w:w="3827"/>
      </w:tblGrid>
      <w:tr w:rsidR="00927510" w:rsidTr="00216408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573D">
              <w:rPr>
                <w:b/>
                <w:sz w:val="20"/>
                <w:szCs w:val="20"/>
              </w:rPr>
              <w:t>Пәннің</w:t>
            </w:r>
            <w:proofErr w:type="spellEnd"/>
            <w:r w:rsidRPr="006A5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A573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6A573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6A573D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73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A573D">
              <w:rPr>
                <w:b/>
                <w:sz w:val="20"/>
                <w:szCs w:val="20"/>
              </w:rPr>
              <w:t>қол</w:t>
            </w:r>
            <w:proofErr w:type="spellEnd"/>
            <w:r w:rsidRPr="006A5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b/>
                <w:sz w:val="20"/>
                <w:szCs w:val="20"/>
              </w:rPr>
              <w:t>жеткізу</w:t>
            </w:r>
            <w:proofErr w:type="spellEnd"/>
            <w:r w:rsidRPr="006A5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A573D">
              <w:rPr>
                <w:b/>
                <w:sz w:val="20"/>
                <w:szCs w:val="20"/>
              </w:rPr>
              <w:t xml:space="preserve"> (ЖИ) </w:t>
            </w:r>
          </w:p>
          <w:p w:rsidR="00927510" w:rsidRPr="006A573D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73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A573D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6A573D">
              <w:rPr>
                <w:sz w:val="20"/>
                <w:szCs w:val="20"/>
              </w:rPr>
              <w:t xml:space="preserve"> ОН-</w:t>
            </w:r>
            <w:proofErr w:type="spellStart"/>
            <w:r w:rsidRPr="006A573D">
              <w:rPr>
                <w:sz w:val="20"/>
                <w:szCs w:val="20"/>
              </w:rPr>
              <w:t>ге</w:t>
            </w:r>
            <w:proofErr w:type="spellEnd"/>
            <w:r w:rsidRPr="006A573D">
              <w:rPr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sz w:val="20"/>
                <w:szCs w:val="20"/>
              </w:rPr>
              <w:t>кемінде</w:t>
            </w:r>
            <w:proofErr w:type="spellEnd"/>
            <w:r w:rsidRPr="006A573D">
              <w:rPr>
                <w:sz w:val="20"/>
                <w:szCs w:val="20"/>
              </w:rPr>
              <w:t xml:space="preserve"> 2 индикатор)</w:t>
            </w:r>
          </w:p>
        </w:tc>
      </w:tr>
      <w:tr w:rsidR="00927510" w:rsidRPr="00894A78" w:rsidTr="00216408">
        <w:trPr>
          <w:trHeight w:val="165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08" w:rsidRPr="006A573D" w:rsidRDefault="00216408" w:rsidP="00216408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A573D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>.</w:t>
            </w:r>
          </w:p>
          <w:p w:rsidR="00216408" w:rsidRPr="006A573D" w:rsidRDefault="00216408" w:rsidP="00216408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қарастырыу  дағдыларын жетілдіріу  және дамыту.</w:t>
            </w:r>
          </w:p>
          <w:p w:rsidR="00216408" w:rsidRPr="006A573D" w:rsidRDefault="00216408" w:rsidP="00216408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615360" w:rsidRPr="006A573D" w:rsidRDefault="00615360" w:rsidP="00216408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3A" w:rsidRPr="006A573D" w:rsidRDefault="00927510" w:rsidP="0078023A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ОН </w:t>
            </w:r>
            <w:r w:rsidR="0078023A"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="0078023A" w:rsidRPr="006A573D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="0078023A"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927510" w:rsidRPr="006A573D" w:rsidRDefault="00927510" w:rsidP="0078023A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9E" w:rsidRPr="006A573D" w:rsidRDefault="00927510" w:rsidP="00C75D9E">
            <w:pPr>
              <w:rPr>
                <w:sz w:val="20"/>
                <w:szCs w:val="20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C75D9E" w:rsidRPr="006A573D">
              <w:rPr>
                <w:sz w:val="20"/>
                <w:szCs w:val="20"/>
                <w:lang w:val="kk-KZ"/>
              </w:rPr>
              <w:t>1.1</w:t>
            </w:r>
            <w:r w:rsidR="006A573D" w:rsidRPr="006A573D">
              <w:rPr>
                <w:sz w:val="20"/>
                <w:szCs w:val="20"/>
                <w:lang w:val="kk-KZ"/>
              </w:rPr>
              <w:t xml:space="preserve"> </w:t>
            </w:r>
            <w:r w:rsidR="00C75D9E" w:rsidRPr="006A573D">
              <w:rPr>
                <w:sz w:val="20"/>
                <w:szCs w:val="20"/>
                <w:lang w:val="kk-KZ"/>
              </w:rPr>
              <w:t xml:space="preserve"> қажетті ақпаратты табады;</w:t>
            </w:r>
          </w:p>
          <w:p w:rsidR="00927510" w:rsidRPr="006A573D" w:rsidRDefault="00C75D9E" w:rsidP="00C75D9E">
            <w:pPr>
              <w:rPr>
                <w:sz w:val="20"/>
                <w:szCs w:val="20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/>
              </w:rPr>
              <w:t>ЖИ</w:t>
            </w:r>
            <w:r w:rsidRPr="006A573D">
              <w:rPr>
                <w:sz w:val="20"/>
                <w:szCs w:val="20"/>
                <w:lang w:val="kk-KZ"/>
              </w:rPr>
              <w:t xml:space="preserve"> 1.2 мәселені шешуге қажетті ақпаратты табады және салыстырмалы тұрғыдан талдайды.</w:t>
            </w:r>
          </w:p>
        </w:tc>
      </w:tr>
      <w:tr w:rsidR="00927510" w:rsidRPr="00894A78" w:rsidTr="00216408"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A573D" w:rsidRDefault="0092751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 w:rsidP="0078023A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="0078023A" w:rsidRPr="006A573D">
              <w:rPr>
                <w:color w:val="000000"/>
                <w:sz w:val="20"/>
                <w:szCs w:val="20"/>
              </w:rPr>
              <w:t xml:space="preserve">- </w:t>
            </w:r>
            <w:r w:rsidR="0078023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="0078023A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="0078023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="0078023A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78023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</w:t>
            </w:r>
            <w:r w:rsidR="009450C9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жазыудың дамыу </w:t>
            </w:r>
            <w:r w:rsidR="0078023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9450C9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9E" w:rsidRPr="006A573D" w:rsidRDefault="00927510" w:rsidP="00C75D9E">
            <w:pPr>
              <w:rPr>
                <w:sz w:val="20"/>
                <w:szCs w:val="20"/>
                <w:lang w:val="kk-KZ" w:eastAsia="ru-RU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6A573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75D9E" w:rsidRPr="006A573D">
              <w:rPr>
                <w:color w:val="000000"/>
                <w:sz w:val="20"/>
                <w:szCs w:val="20"/>
                <w:lang w:val="kk-KZ"/>
              </w:rPr>
              <w:t>2</w:t>
            </w:r>
            <w:r w:rsidR="006A573D" w:rsidRPr="006A573D">
              <w:rPr>
                <w:color w:val="000000"/>
                <w:sz w:val="20"/>
                <w:szCs w:val="20"/>
                <w:lang w:val="kk-KZ"/>
              </w:rPr>
              <w:t>.</w:t>
            </w:r>
            <w:r w:rsidR="00C75D9E" w:rsidRPr="006A573D">
              <w:rPr>
                <w:color w:val="000000"/>
                <w:sz w:val="20"/>
                <w:szCs w:val="20"/>
                <w:lang w:val="kk-KZ"/>
              </w:rPr>
              <w:t>1</w:t>
            </w:r>
            <w:r w:rsidR="00C75D9E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Қытай жазуының жасалу жолдары.</w:t>
            </w:r>
            <w:r w:rsidR="00C75D9E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="00C75D9E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="00C75D9E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C75D9E" w:rsidRPr="006A573D">
              <w:rPr>
                <w:sz w:val="20"/>
                <w:szCs w:val="20"/>
                <w:lang w:val="kk-KZ" w:eastAsia="ru-RU"/>
              </w:rPr>
              <w:t>бөліп көрсетеді;</w:t>
            </w:r>
          </w:p>
          <w:p w:rsidR="00927510" w:rsidRPr="006A573D" w:rsidRDefault="00C75D9E" w:rsidP="00C75D9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6A573D" w:rsidRPr="006A573D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жазыудың дамыу басқыштары </w:t>
            </w:r>
            <w:r w:rsidR="006F4B95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мен заңдылықтарын</w:t>
            </w:r>
            <w:r w:rsidR="006F4B95" w:rsidRPr="006A573D">
              <w:rPr>
                <w:sz w:val="20"/>
                <w:szCs w:val="20"/>
                <w:lang w:val="kk-KZ" w:eastAsia="ru-RU"/>
              </w:rPr>
              <w:t xml:space="preserve"> түсіне</w:t>
            </w:r>
            <w:r w:rsidRPr="006A573D">
              <w:rPr>
                <w:sz w:val="20"/>
                <w:szCs w:val="20"/>
                <w:lang w:val="kk-KZ" w:eastAsia="ru-RU"/>
              </w:rPr>
              <w:t>ді;</w:t>
            </w:r>
          </w:p>
        </w:tc>
      </w:tr>
      <w:tr w:rsidR="00927510" w:rsidRPr="00894A78" w:rsidTr="00216408">
        <w:trPr>
          <w:trHeight w:val="25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A573D" w:rsidRDefault="0092751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8A" w:rsidRPr="006A573D" w:rsidRDefault="00927510" w:rsidP="003D3E8A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="003D3E8A" w:rsidRPr="006A573D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="003D3E8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не </w:t>
            </w:r>
            <w:r w:rsidR="00B67123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талдау,</w:t>
            </w:r>
            <w:r w:rsidR="003D3E8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ә</w:t>
            </w:r>
            <w:r w:rsidR="00B67123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ртүрлі дәуір жазбаларын анықтай  алыу </w:t>
            </w:r>
            <w:r w:rsidR="003D3E8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қабілетті болу;</w:t>
            </w:r>
          </w:p>
          <w:p w:rsidR="00927510" w:rsidRPr="006A573D" w:rsidRDefault="00927510" w:rsidP="00927510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6F4B95" w:rsidP="006F4B9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3.1 қытайша-қазақша 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жазуының тарихна байлансты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терминологиялық сөздікті қолданады</w:t>
            </w:r>
          </w:p>
          <w:p w:rsidR="00927510" w:rsidRPr="006A573D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927510" w:rsidRPr="00894A78" w:rsidTr="00216408"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A573D" w:rsidRDefault="0092751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5A" w:rsidRPr="006A573D" w:rsidRDefault="00927510" w:rsidP="000C785A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="00DD4962"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="00DD4962" w:rsidRPr="006A57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="00DD4962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</w:t>
            </w:r>
            <w:r w:rsidR="000C785A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жағдайында коммуникативті мақсаттарын жүзеге</w:t>
            </w:r>
          </w:p>
          <w:p w:rsidR="000C785A" w:rsidRPr="006A573D" w:rsidRDefault="000C785A" w:rsidP="000C785A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927510" w:rsidRPr="006A573D" w:rsidRDefault="00927510" w:rsidP="00927510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="00D40BDF" w:rsidRPr="006A573D">
              <w:rPr>
                <w:sz w:val="20"/>
                <w:szCs w:val="20"/>
                <w:lang w:val="kk-KZ"/>
              </w:rPr>
              <w:t>4.1</w:t>
            </w:r>
            <w:r w:rsidR="00D40BDF" w:rsidRPr="006A573D">
              <w:rPr>
                <w:color w:val="000000"/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алмасуға, топ жұмысының нәтижелерін ұсынуға қатысады</w:t>
            </w:r>
          </w:p>
          <w:p w:rsidR="00927510" w:rsidRPr="006A573D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927510" w:rsidRPr="00894A78" w:rsidTr="00216408">
        <w:trPr>
          <w:trHeight w:val="183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A573D" w:rsidRDefault="0092751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5A" w:rsidRPr="006A573D" w:rsidRDefault="00927510" w:rsidP="000C785A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="000C785A"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</w:t>
            </w:r>
            <w:r w:rsidR="00DD4962"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тілдік қабылеттерін іс жүзінде </w:t>
            </w:r>
            <w:r w:rsidR="000C785A" w:rsidRPr="006A57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қолдану.</w:t>
            </w:r>
          </w:p>
          <w:p w:rsidR="00927510" w:rsidRPr="006A573D" w:rsidRDefault="00927510" w:rsidP="00927510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A573D" w:rsidRDefault="00927510" w:rsidP="00925D8B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="00925D8B"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="00925D8B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="00E66D54" w:rsidRPr="006A57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="00E66D54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н </w:t>
            </w:r>
            <w:r w:rsidR="00925D8B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жазу</w:t>
            </w:r>
            <w:r w:rsidR="00E66D54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925D8B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ың</w:t>
            </w:r>
            <w:r w:rsidR="00925D8B"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927510" w:rsidRPr="006A573D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927510" w:rsidTr="00216408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  <w:r w:rsidR="00925D8B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RPr="00894A78" w:rsidTr="00216408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894A78" w:rsidRDefault="00894A78" w:rsidP="00894A78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935702">
              <w:rPr>
                <w:sz w:val="22"/>
                <w:szCs w:val="22"/>
                <w:lang w:val="kk-KZ" w:eastAsia="ar-SA"/>
              </w:rPr>
              <w:t>Қытайдың дәстүрлі мәдениеті</w:t>
            </w:r>
            <w:r w:rsidRPr="00894A78">
              <w:rPr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(</w:t>
            </w:r>
            <w:r w:rsidRPr="00894A78">
              <w:rPr>
                <w:sz w:val="22"/>
                <w:szCs w:val="22"/>
                <w:lang w:val="kk-KZ" w:eastAsia="ar-SA"/>
              </w:rPr>
              <w:t>TKKit3308</w:t>
            </w: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) </w:t>
            </w:r>
            <w:bookmarkStart w:id="0" w:name="_GoBack"/>
            <w:bookmarkEnd w:id="0"/>
          </w:p>
        </w:tc>
      </w:tr>
      <w:tr w:rsidR="00927510" w:rsidTr="00216408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/>
              </w:rPr>
              <w:t>新使用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汉语课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本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。北京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В.Ф.Щичко</w:t>
            </w:r>
            <w:proofErr w:type="spellEnd"/>
            <w:r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/>
              </w:rPr>
              <w:t>常用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汉语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部首。</w:t>
            </w:r>
            <w:r>
              <w:rPr>
                <w:rFonts w:eastAsia="MingLiU" w:hint="eastAsia"/>
                <w:sz w:val="20"/>
                <w:szCs w:val="20"/>
                <w:lang w:val="kk-KZ"/>
              </w:rPr>
              <w:t>华语</w:t>
            </w:r>
            <w:r>
              <w:rPr>
                <w:rFonts w:eastAsia="MS Mincho" w:hint="eastAsia"/>
                <w:sz w:val="20"/>
                <w:szCs w:val="20"/>
                <w:lang w:val="kk-KZ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Восточная книга 2018-448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С.Ли. Курс китайского языка “</w:t>
            </w:r>
            <w:proofErr w:type="spellStart"/>
            <w:r>
              <w:rPr>
                <w:sz w:val="20"/>
                <w:szCs w:val="20"/>
                <w:lang w:val="en-US"/>
              </w:rPr>
              <w:t>BOYAChinese</w:t>
            </w:r>
            <w:proofErr w:type="spellEnd"/>
            <w:r>
              <w:rPr>
                <w:sz w:val="20"/>
                <w:szCs w:val="20"/>
              </w:rPr>
              <w:t xml:space="preserve">”. Базовый уровень. </w:t>
            </w:r>
            <w:proofErr w:type="spellStart"/>
            <w:r>
              <w:rPr>
                <w:sz w:val="20"/>
                <w:szCs w:val="20"/>
              </w:rPr>
              <w:t>Каро</w:t>
            </w:r>
            <w:proofErr w:type="spellEnd"/>
            <w:r>
              <w:rPr>
                <w:sz w:val="20"/>
                <w:szCs w:val="20"/>
              </w:rPr>
              <w:t>, 2018-336с</w:t>
            </w:r>
          </w:p>
          <w:p w:rsidR="00927510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Default="00927510" w:rsidP="00CF296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927510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927510" w:rsidRDefault="00894A78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92751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27510" w:rsidRDefault="00894A78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927510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927510" w:rsidRDefault="00894A78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9" w:history="1">
              <w:r w:rsidR="00927510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27510" w:rsidRDefault="00894A78" w:rsidP="00CF296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0" w:history="1">
              <w:r w:rsidR="0092751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="00A701C8" w:rsidRPr="00A701C8">
                <w:rPr>
                  <w:rStyle w:val="a3"/>
                  <w:sz w:val="20"/>
                  <w:szCs w:val="20"/>
                </w:rPr>
                <w:t>2010</w:t>
              </w:r>
              <w:r w:rsidR="00A701C8" w:rsidRPr="00F9099D">
                <w:rPr>
                  <w:rStyle w:val="a3"/>
                  <w:sz w:val="20"/>
                  <w:szCs w:val="20"/>
                  <w:lang w:val="en-US"/>
                </w:rPr>
                <w:t>zere</w:t>
              </w:r>
              <w:r w:rsidR="00A701C8" w:rsidRPr="00F9099D">
                <w:rPr>
                  <w:rStyle w:val="a3"/>
                  <w:sz w:val="20"/>
                  <w:szCs w:val="20"/>
                </w:rPr>
                <w:t>@</w:t>
              </w:r>
              <w:r w:rsidR="00A701C8" w:rsidRPr="00F9099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A701C8" w:rsidRPr="00F9099D">
                <w:rPr>
                  <w:rStyle w:val="a3"/>
                  <w:sz w:val="20"/>
                  <w:szCs w:val="20"/>
                </w:rPr>
                <w:t>.</w:t>
              </w:r>
              <w:r w:rsidR="00A701C8" w:rsidRPr="00F9099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 w:rsidRPr="00090285">
              <w:rPr>
                <w:rFonts w:eastAsia="SimSun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C6B" w:rsidRPr="003C5A8C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>
              <w:rPr>
                <w:rFonts w:eastAsia="MS Mincho"/>
                <w:sz w:val="20"/>
                <w:szCs w:val="20"/>
                <w:lang w:val="kk-KZ"/>
              </w:rPr>
              <w:t xml:space="preserve">Кіріспе.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ЖИ</w:t>
            </w:r>
            <w:r w:rsidR="003C5A8C">
              <w:rPr>
                <w:sz w:val="20"/>
                <w:szCs w:val="20"/>
                <w:lang w:val="tr-TR"/>
              </w:rPr>
              <w:t>1</w:t>
            </w:r>
            <w:r w:rsidR="003C5A8C" w:rsidRPr="003C5A8C">
              <w:rPr>
                <w:sz w:val="20"/>
                <w:szCs w:val="20"/>
                <w:lang w:val="tr-TR"/>
              </w:rPr>
              <w:t>.</w:t>
            </w:r>
            <w:r w:rsidR="003C5A8C">
              <w:rPr>
                <w:sz w:val="20"/>
                <w:szCs w:val="20"/>
                <w:lang w:val="tr-TR"/>
              </w:rPr>
              <w:t>2</w:t>
            </w:r>
            <w:r w:rsidRPr="003C5A8C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rPr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Zoom да вебинар</w:t>
            </w:r>
          </w:p>
        </w:tc>
      </w:tr>
      <w:tr w:rsidR="007A0C6B" w:rsidRPr="003C5A8C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  <w:r w:rsidRPr="003C5A8C">
              <w:rPr>
                <w:b/>
                <w:sz w:val="20"/>
                <w:szCs w:val="20"/>
                <w:lang w:val="tr-TR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5A8C">
              <w:rPr>
                <w:b/>
                <w:sz w:val="20"/>
                <w:szCs w:val="20"/>
                <w:lang w:val="tr-TR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Кілттер.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rPr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Zoom да вебинар</w:t>
            </w:r>
          </w:p>
        </w:tc>
      </w:tr>
      <w:tr w:rsidR="007A0C6B" w:rsidRPr="003C5A8C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C5A8C">
              <w:rPr>
                <w:b/>
                <w:sz w:val="20"/>
                <w:szCs w:val="20"/>
                <w:lang w:val="tr-TR"/>
              </w:rPr>
              <w:t xml:space="preserve">ПС 3 </w:t>
            </w:r>
            <w:r>
              <w:rPr>
                <w:sz w:val="20"/>
                <w:szCs w:val="20"/>
                <w:lang w:val="kk-KZ"/>
              </w:rPr>
              <w:t>Иероглифтік ұяшықтар</w:t>
            </w:r>
            <w:r>
              <w:rPr>
                <w:b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spacing w:line="276" w:lineRule="auto"/>
              <w:rPr>
                <w:rFonts w:asciiTheme="minorHAnsi" w:eastAsiaTheme="minorEastAsia" w:hAnsiTheme="minorHAnsi"/>
                <w:lang w:val="tr-TR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spacing w:line="276" w:lineRule="auto"/>
              <w:rPr>
                <w:rFonts w:asciiTheme="minorHAnsi" w:eastAsiaTheme="minorEastAsia" w:hAnsiTheme="minorHAnsi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C322B0" w:rsidP="007A0C6B">
            <w:pPr>
              <w:pStyle w:val="1"/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="007A0C6B" w:rsidRPr="003C5A8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3C5A8C" w:rsidRDefault="007A0C6B" w:rsidP="007A0C6B">
            <w:pPr>
              <w:rPr>
                <w:lang w:val="tr-TR"/>
              </w:rPr>
            </w:pPr>
            <w:r w:rsidRPr="003C5A8C">
              <w:rPr>
                <w:sz w:val="20"/>
                <w:szCs w:val="20"/>
                <w:lang w:val="tr-TR"/>
              </w:rPr>
              <w:t>Zoom да вебинар</w:t>
            </w:r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823533">
              <w:rPr>
                <w:sz w:val="20"/>
                <w:szCs w:val="20"/>
              </w:rPr>
              <w:t>Zoom</w:t>
            </w:r>
            <w:proofErr w:type="spellEnd"/>
            <w:r w:rsidRPr="00823533">
              <w:rPr>
                <w:sz w:val="20"/>
                <w:szCs w:val="20"/>
              </w:rPr>
              <w:t xml:space="preserve"> да </w:t>
            </w:r>
            <w:proofErr w:type="spellStart"/>
            <w:r w:rsidRPr="00823533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823533">
              <w:rPr>
                <w:sz w:val="20"/>
                <w:szCs w:val="20"/>
              </w:rPr>
              <w:t>Zoom</w:t>
            </w:r>
            <w:proofErr w:type="spellEnd"/>
            <w:r w:rsidRPr="00823533">
              <w:rPr>
                <w:sz w:val="20"/>
                <w:szCs w:val="20"/>
              </w:rPr>
              <w:t xml:space="preserve"> да </w:t>
            </w:r>
            <w:proofErr w:type="spellStart"/>
            <w:r w:rsidRPr="00823533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>
              <w:rPr>
                <w:sz w:val="20"/>
                <w:szCs w:val="20"/>
                <w:lang w:val="kk-KZ"/>
              </w:rPr>
              <w:t>Қытай жазба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C6B" w:rsidRDefault="007A0C6B" w:rsidP="007A0C6B">
            <w:proofErr w:type="spellStart"/>
            <w:r w:rsidRPr="00897E06">
              <w:rPr>
                <w:sz w:val="20"/>
                <w:szCs w:val="20"/>
              </w:rPr>
              <w:t>Zoom</w:t>
            </w:r>
            <w:proofErr w:type="spellEnd"/>
            <w:r w:rsidRPr="00897E06">
              <w:rPr>
                <w:sz w:val="20"/>
                <w:szCs w:val="20"/>
              </w:rPr>
              <w:t xml:space="preserve"> да </w:t>
            </w:r>
            <w:proofErr w:type="spellStart"/>
            <w:r w:rsidRPr="00897E06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>
              <w:rPr>
                <w:sz w:val="20"/>
                <w:szCs w:val="20"/>
                <w:lang w:val="kk-KZ"/>
              </w:rPr>
              <w:t xml:space="preserve">Қытай жазуының даму кезеңдері.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897E06">
              <w:rPr>
                <w:sz w:val="20"/>
                <w:szCs w:val="20"/>
              </w:rPr>
              <w:t>Zoom</w:t>
            </w:r>
            <w:proofErr w:type="spellEnd"/>
            <w:r w:rsidRPr="00897E06">
              <w:rPr>
                <w:sz w:val="20"/>
                <w:szCs w:val="20"/>
              </w:rPr>
              <w:t xml:space="preserve"> да </w:t>
            </w:r>
            <w:proofErr w:type="spellStart"/>
            <w:r w:rsidRPr="00897E06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897E06">
              <w:rPr>
                <w:sz w:val="20"/>
                <w:szCs w:val="20"/>
              </w:rPr>
              <w:t>Zoom</w:t>
            </w:r>
            <w:proofErr w:type="spellEnd"/>
            <w:r w:rsidRPr="00897E06">
              <w:rPr>
                <w:sz w:val="20"/>
                <w:szCs w:val="20"/>
              </w:rPr>
              <w:t xml:space="preserve"> да </w:t>
            </w:r>
            <w:proofErr w:type="spellStart"/>
            <w:r w:rsidRPr="00897E06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Pr="00927510" w:rsidRDefault="007A0C6B" w:rsidP="007A0C6B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897E06">
              <w:rPr>
                <w:sz w:val="20"/>
                <w:szCs w:val="20"/>
              </w:rPr>
              <w:t>Zoom</w:t>
            </w:r>
            <w:proofErr w:type="spellEnd"/>
            <w:r w:rsidRPr="00897E06">
              <w:rPr>
                <w:sz w:val="20"/>
                <w:szCs w:val="20"/>
              </w:rPr>
              <w:t xml:space="preserve"> да </w:t>
            </w:r>
            <w:proofErr w:type="spellStart"/>
            <w:r w:rsidRPr="00897E06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9028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="00090285" w:rsidRPr="00090285">
              <w:rPr>
                <w:b/>
                <w:sz w:val="20"/>
                <w:szCs w:val="20"/>
              </w:rPr>
              <w:t xml:space="preserve">       </w:t>
            </w:r>
            <w:r w:rsidR="00090285">
              <w:rPr>
                <w:b/>
                <w:sz w:val="20"/>
                <w:szCs w:val="20"/>
              </w:rPr>
              <w:t xml:space="preserve">Модуль </w:t>
            </w:r>
            <w:r w:rsidR="00090285">
              <w:rPr>
                <w:b/>
                <w:sz w:val="20"/>
                <w:szCs w:val="20"/>
                <w:lang w:val="en-US"/>
              </w:rPr>
              <w:t>II</w:t>
            </w:r>
            <w:r w:rsidR="00090285" w:rsidRPr="00090285">
              <w:rPr>
                <w:b/>
                <w:sz w:val="20"/>
                <w:szCs w:val="20"/>
              </w:rPr>
              <w:t xml:space="preserve"> </w:t>
            </w:r>
            <w:r w:rsidR="00090285" w:rsidRPr="00090285">
              <w:rPr>
                <w:b/>
                <w:sz w:val="20"/>
                <w:szCs w:val="20"/>
                <w:lang w:val="kk-KZ"/>
              </w:rPr>
              <w:t>Қытай каллиграфиясының ерекшелігі</w:t>
            </w:r>
          </w:p>
        </w:tc>
      </w:tr>
      <w:tr w:rsidR="007A0C6B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>
              <w:rPr>
                <w:sz w:val="20"/>
                <w:szCs w:val="20"/>
                <w:lang w:val="kk-KZ"/>
              </w:rPr>
              <w:t>Қытай каллиграфиясының ерекшелігі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1504FC">
              <w:rPr>
                <w:sz w:val="20"/>
                <w:szCs w:val="20"/>
              </w:rPr>
              <w:t>Zoom</w:t>
            </w:r>
            <w:proofErr w:type="spellEnd"/>
            <w:r w:rsidRPr="001504FC">
              <w:rPr>
                <w:sz w:val="20"/>
                <w:szCs w:val="20"/>
              </w:rPr>
              <w:t xml:space="preserve"> да </w:t>
            </w:r>
            <w:proofErr w:type="spellStart"/>
            <w:r w:rsidRPr="001504FC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大</w:t>
            </w:r>
            <w:r>
              <w:rPr>
                <w:rFonts w:eastAsia="SimSun" w:hAnsi="SimSun" w:hint="eastAsia"/>
                <w:sz w:val="20"/>
                <w:szCs w:val="20"/>
                <w:lang w:val="kk-KZ"/>
              </w:rPr>
              <w:t>篆</w:t>
            </w:r>
            <w:r>
              <w:rPr>
                <w:sz w:val="20"/>
                <w:szCs w:val="20"/>
                <w:lang w:val="kk-KZ"/>
              </w:rPr>
              <w:t>дачжуань (стиліндегі иероглифтер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1504FC">
              <w:rPr>
                <w:sz w:val="20"/>
                <w:szCs w:val="20"/>
              </w:rPr>
              <w:t>Zoom</w:t>
            </w:r>
            <w:proofErr w:type="spellEnd"/>
            <w:r w:rsidRPr="001504FC">
              <w:rPr>
                <w:sz w:val="20"/>
                <w:szCs w:val="20"/>
              </w:rPr>
              <w:t xml:space="preserve"> да </w:t>
            </w:r>
            <w:proofErr w:type="spellStart"/>
            <w:r w:rsidRPr="001504FC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8 </w:t>
            </w:r>
            <w:r>
              <w:rPr>
                <w:sz w:val="20"/>
                <w:szCs w:val="20"/>
                <w:lang w:val="kk-KZ"/>
              </w:rPr>
              <w:t xml:space="preserve">Хань династиясы кезіндегі каллиграфия.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1504FC">
              <w:rPr>
                <w:sz w:val="20"/>
                <w:szCs w:val="20"/>
              </w:rPr>
              <w:t>Zoom</w:t>
            </w:r>
            <w:proofErr w:type="spellEnd"/>
            <w:r w:rsidRPr="001504FC">
              <w:rPr>
                <w:sz w:val="20"/>
                <w:szCs w:val="20"/>
              </w:rPr>
              <w:t xml:space="preserve"> да </w:t>
            </w:r>
            <w:proofErr w:type="spellStart"/>
            <w:r w:rsidRPr="001504FC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570BDC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1504FC">
              <w:rPr>
                <w:sz w:val="20"/>
                <w:szCs w:val="20"/>
              </w:rPr>
              <w:t>Zoom</w:t>
            </w:r>
            <w:proofErr w:type="spellEnd"/>
            <w:r w:rsidRPr="001504FC">
              <w:rPr>
                <w:sz w:val="20"/>
                <w:szCs w:val="20"/>
              </w:rPr>
              <w:t xml:space="preserve"> да </w:t>
            </w:r>
            <w:proofErr w:type="spellStart"/>
            <w:r w:rsidRPr="001504FC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1504FC">
              <w:rPr>
                <w:sz w:val="20"/>
                <w:szCs w:val="20"/>
              </w:rPr>
              <w:t>Zoom</w:t>
            </w:r>
            <w:proofErr w:type="spellEnd"/>
            <w:r w:rsidRPr="001504FC">
              <w:rPr>
                <w:sz w:val="20"/>
                <w:szCs w:val="20"/>
              </w:rPr>
              <w:t xml:space="preserve"> да </w:t>
            </w:r>
            <w:proofErr w:type="spellStart"/>
            <w:r w:rsidRPr="001504FC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иероглифтер </w:t>
            </w:r>
            <w:r w:rsidRPr="00090285">
              <w:rPr>
                <w:rFonts w:eastAsiaTheme="minorEastAsia"/>
                <w:sz w:val="20"/>
                <w:szCs w:val="20"/>
                <w:lang w:val="kk-KZ"/>
              </w:rPr>
              <w:t>талдау.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62019F">
              <w:rPr>
                <w:sz w:val="20"/>
                <w:szCs w:val="20"/>
              </w:rPr>
              <w:t>Zoom</w:t>
            </w:r>
            <w:proofErr w:type="spellEnd"/>
            <w:r w:rsidRPr="0062019F">
              <w:rPr>
                <w:sz w:val="20"/>
                <w:szCs w:val="20"/>
              </w:rPr>
              <w:t xml:space="preserve"> да </w:t>
            </w:r>
            <w:proofErr w:type="spellStart"/>
            <w:r w:rsidRPr="0062019F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иероглифтер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62019F">
              <w:rPr>
                <w:sz w:val="20"/>
                <w:szCs w:val="20"/>
              </w:rPr>
              <w:t>Zoom</w:t>
            </w:r>
            <w:proofErr w:type="spellEnd"/>
            <w:r w:rsidRPr="0062019F">
              <w:rPr>
                <w:sz w:val="20"/>
                <w:szCs w:val="20"/>
              </w:rPr>
              <w:t xml:space="preserve"> да </w:t>
            </w:r>
            <w:proofErr w:type="spellStart"/>
            <w:r w:rsidRPr="0062019F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62019F">
              <w:rPr>
                <w:sz w:val="20"/>
                <w:szCs w:val="20"/>
              </w:rPr>
              <w:t>Zoom</w:t>
            </w:r>
            <w:proofErr w:type="spellEnd"/>
            <w:r w:rsidRPr="0062019F">
              <w:rPr>
                <w:sz w:val="20"/>
                <w:szCs w:val="20"/>
              </w:rPr>
              <w:t xml:space="preserve"> да </w:t>
            </w:r>
            <w:proofErr w:type="spellStart"/>
            <w:r w:rsidRPr="0062019F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62019F">
              <w:rPr>
                <w:sz w:val="20"/>
                <w:szCs w:val="20"/>
              </w:rPr>
              <w:t>Zoom</w:t>
            </w:r>
            <w:proofErr w:type="spellEnd"/>
            <w:r w:rsidRPr="0062019F">
              <w:rPr>
                <w:sz w:val="20"/>
                <w:szCs w:val="20"/>
              </w:rPr>
              <w:t xml:space="preserve"> да </w:t>
            </w:r>
            <w:proofErr w:type="spellStart"/>
            <w:r w:rsidRPr="0062019F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090285" w:rsidTr="00090285">
        <w:trPr>
          <w:trHeight w:val="38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85" w:rsidRDefault="0009028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85" w:rsidRDefault="00090285" w:rsidP="00090285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IIІ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090285">
              <w:rPr>
                <w:rFonts w:eastAsiaTheme="minorEastAsia"/>
                <w:b/>
                <w:sz w:val="20"/>
                <w:szCs w:val="20"/>
                <w:lang w:val="kk-KZ"/>
              </w:rPr>
              <w:t>иероглифтер талдау.</w:t>
            </w:r>
          </w:p>
        </w:tc>
      </w:tr>
      <w:tr w:rsidR="007A0C6B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иероглифтер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A0C6B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Pr="00927510" w:rsidRDefault="007A0C6B" w:rsidP="007A0C6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C6B" w:rsidRDefault="007A0C6B" w:rsidP="007A0C6B">
            <w:proofErr w:type="spellStart"/>
            <w:r w:rsidRPr="00D41C42">
              <w:rPr>
                <w:sz w:val="20"/>
                <w:szCs w:val="20"/>
              </w:rPr>
              <w:t>Zoom</w:t>
            </w:r>
            <w:proofErr w:type="spellEnd"/>
            <w:r w:rsidRPr="00D41C42">
              <w:rPr>
                <w:sz w:val="20"/>
                <w:szCs w:val="20"/>
              </w:rPr>
              <w:t xml:space="preserve"> да </w:t>
            </w:r>
            <w:proofErr w:type="spellStart"/>
            <w:r w:rsidRPr="00D41C42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8C517A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8C517A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8C517A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8C517A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8C517A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8C517A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8C517A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8C517A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AE6884" w:rsidRPr="009120FF" w:rsidRDefault="00927510" w:rsidP="00AE6884">
      <w:pPr>
        <w:jc w:val="both"/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AE6884" w:rsidRPr="00AE6884">
        <w:rPr>
          <w:sz w:val="20"/>
          <w:szCs w:val="20"/>
          <w:lang w:val="kk-KZ"/>
        </w:rPr>
        <w:t xml:space="preserve"> </w:t>
      </w:r>
      <w:r w:rsidR="00AE6884" w:rsidRPr="009120FF">
        <w:rPr>
          <w:sz w:val="20"/>
          <w:szCs w:val="20"/>
          <w:lang w:val="kk-KZ"/>
        </w:rPr>
        <w:t xml:space="preserve">Абуова А. 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9780B">
        <w:rPr>
          <w:sz w:val="20"/>
          <w:szCs w:val="20"/>
          <w:lang w:val="kk-KZ"/>
        </w:rPr>
        <w:t xml:space="preserve"> Маулит Б</w:t>
      </w:r>
      <w:r w:rsidR="00FD31F2">
        <w:rPr>
          <w:sz w:val="20"/>
          <w:szCs w:val="20"/>
          <w:lang w:val="kk-KZ"/>
        </w:rPr>
        <w:t>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90285"/>
    <w:rsid w:val="000C34E4"/>
    <w:rsid w:val="000C785A"/>
    <w:rsid w:val="0010493F"/>
    <w:rsid w:val="00216408"/>
    <w:rsid w:val="003C5A8C"/>
    <w:rsid w:val="003D3E8A"/>
    <w:rsid w:val="0049780B"/>
    <w:rsid w:val="00570BDC"/>
    <w:rsid w:val="00615360"/>
    <w:rsid w:val="0064118A"/>
    <w:rsid w:val="006A573D"/>
    <w:rsid w:val="006F4B95"/>
    <w:rsid w:val="0078023A"/>
    <w:rsid w:val="007A0C6B"/>
    <w:rsid w:val="00894A78"/>
    <w:rsid w:val="008C517A"/>
    <w:rsid w:val="00925D8B"/>
    <w:rsid w:val="00927510"/>
    <w:rsid w:val="009450C9"/>
    <w:rsid w:val="009B55FF"/>
    <w:rsid w:val="00A156E2"/>
    <w:rsid w:val="00A701C8"/>
    <w:rsid w:val="00AE6884"/>
    <w:rsid w:val="00B67123"/>
    <w:rsid w:val="00B71A6F"/>
    <w:rsid w:val="00BB0C47"/>
    <w:rsid w:val="00C322B0"/>
    <w:rsid w:val="00C75D9E"/>
    <w:rsid w:val="00C96E89"/>
    <w:rsid w:val="00D40BDF"/>
    <w:rsid w:val="00DD4962"/>
    <w:rsid w:val="00E66D54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547C6-84A4-425C-B1EF-720C72C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B5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0zere@gmail.com" TargetMode="External"/><Relationship Id="rId11" Type="http://schemas.openxmlformats.org/officeDocument/2006/relationships/hyperlink" Target="mailto:2010zer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2D27-359B-4EB2-8022-8517E0E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54</cp:revision>
  <dcterms:created xsi:type="dcterms:W3CDTF">2020-09-28T11:53:00Z</dcterms:created>
  <dcterms:modified xsi:type="dcterms:W3CDTF">2020-10-01T20:06:00Z</dcterms:modified>
</cp:coreProperties>
</file>